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4cbb710ea4d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12614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FAUSTA VRANČIĆA	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1.641.303,05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1.803.918,87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1.745.065,61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1.773.276,01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30.642,86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23.675,33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32.353,44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23.675,33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32.353,44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127.437,89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1.710,58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1,3</w:t>
            </w:r>
          </w:p>
        </w:tc>
      </w:tr>
    </w:tbl>
    <w:p>
      <w:pPr>
        <w:spacing w:before="0" w:after="0"/>
      </w:pPr>
    </w:p>
    <w:p>
      <w:r>
        <w:t xml:space="preserve">U razdoblju I - XII 2025. ostvareni su ukupni prihodi poslovanja u iznosu od 1.803.918 €, dok su ukupni rashodi rashodi poslovanja 1.773.276 € čime je ostvaren višak prihoda poslovanja u iznosu 30.642 €. U istom razdoblju nisu ostvareni prihodi od prodaje nefinancijske imovine, dok su rashodi za nabavu nefinancijske imovine iznosili 32.353 €, što je rezultiralo manjkom prihoda od nefinancijske imovine u navedenom iznosu. Slijedom navedenog, u izvještajnom razdoblju ostvaren je ukupni manjak prihoda i primitaka u iznosu od 1.710,58€.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1.641.303,05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1.803.918,87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Ukupni prihodi u izvještajnom razdoblju viši su za 9.9% u odnosu na razdoblje prethodne godine. Povećanje prihoda rezultat je većeg obujma odobrenih proračunskih sredstava, ponajprije radi povećanih rashoda za zaposlene (plaće i ostala materijalna prava) te povećanih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1.448.112,25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1.564.872,64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Prihodi iz izvora pomoći iz inozemstva i od subjekata unutar općeg proračuna u izvještajnom razdoblju veći su za 8.6% u odnosu na prethodnu godinu. Povećanje prihoda rezultat je većeg iznosa doznaćenih sredstava ponajprije za pokriće rashoda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9.924,15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160,6</w:t>
            </w:r>
          </w:p>
        </w:tc>
      </w:tr>
    </w:tbl>
    <w:p>
      <w:pPr>
        <w:spacing w:before="0" w:after="0"/>
      </w:pPr>
    </w:p>
    <w:p>
      <w:r>
        <w:t xml:space="preserve">Prihodi evidentirani na računu 6391 odnose se na tekuće prijenose između proračunskih korisnika istog proračuna. Programi "Školske sheme" i "Pomoćnika u nastavi" koje su se prethodnih godina financirali isključivo iz izvora 51, od izvještajne godine evidentiraju se na navedenom računu, što je razlog značajnog povećanja iznosa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14.864,61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Povećanje prihoda rezultat je većeg broja učenika uključenih u program "Produženog boravka".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55,4</w:t>
            </w:r>
          </w:p>
        </w:tc>
      </w:tr>
    </w:tbl>
    <w:p>
      <w:pPr>
        <w:spacing w:before="0" w:after="0"/>
      </w:pPr>
    </w:p>
    <w:p>
      <w:r>
        <w:t xml:space="preserve">Zabilježen je pad prihoda od pruženih usluga u izvještajnom razdoblju u odnosu na razdoblje prethodne godine zbog otkazivanja najma najmoprimca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176.807,79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222.559,62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125,9</w:t>
            </w:r>
          </w:p>
        </w:tc>
      </w:tr>
    </w:tbl>
    <w:p>
      <w:pPr>
        <w:spacing w:before="0" w:after="0"/>
      </w:pPr>
    </w:p>
    <w:p>
      <w:r>
        <w:t xml:space="preserve">Prihodi proračuna za financiranje rashoda poslovanja porasli su za 25.9% iz razloga povećanja doznačenih sredstava za financiranje rashoda za plaće učiteljica u produženom boravku, materijalnih rashoda i rashoda za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1.745.065,61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1.773.276,01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r>
        <w:t xml:space="preserve">Rashodi poslovanja u izvještajnom razdoblju viši su za 1.6%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57.153,55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Ostali rashodi za zaposlene viši su za 12 % zbog isplate dvije otpremnine radnicima koji su ostvarili uvjete za mirovinu.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195.204,56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210.292,89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Materijalni rashodi veći su za 7.7%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14.417,71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162,7</w:t>
            </w:r>
          </w:p>
        </w:tc>
      </w:tr>
    </w:tbl>
    <w:p>
      <w:pPr>
        <w:spacing w:before="0" w:after="0"/>
      </w:pPr>
    </w:p>
    <w:p>
      <w:r>
        <w:t xml:space="preserve">Povećanje rashoda odnosi se za nabavu psihodijagnostičkih instrumenata za potrebe psihologa.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1151,6</w:t>
            </w:r>
          </w:p>
        </w:tc>
      </w:tr>
    </w:tbl>
    <w:p>
      <w:pPr>
        <w:spacing w:before="0" w:after="0"/>
      </w:pPr>
    </w:p>
    <w:p>
      <w:r>
        <w:t xml:space="preserve">Povećanje rashoda za nabavu radne odjeće za spremačice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9.517,74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11.390,81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r>
        <w:t xml:space="preserve">Povećanje rashoda usluga tekućeg i investicijskog održavanja uvjetovano je izvršenim servisima centralnog grijanja, bojanjem učionica, te montažama klima uređaja u učionicama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409,9</w:t>
            </w:r>
          </w:p>
        </w:tc>
      </w:tr>
    </w:tbl>
    <w:p>
      <w:pPr>
        <w:spacing w:before="0" w:after="0"/>
      </w:pPr>
    </w:p>
    <w:p>
      <w:r>
        <w:t xml:space="preserve">Povećanje rashoda se odnosi na pristojbu za objavu oglasa za izbor ravnatelja u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591,7</w:t>
            </w:r>
          </w:p>
        </w:tc>
      </w:tr>
    </w:tbl>
    <w:p>
      <w:pPr>
        <w:spacing w:before="0" w:after="0"/>
      </w:pPr>
    </w:p>
    <w:p>
      <w:r>
        <w:t xml:space="preserve">Rashodi su nastali temeljem usluge procjene postojećeg stanja i analize rizika te izrade procjene rizika kućne vodoopskrbne mreže za matičnu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36.089,55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školske godine 2025/2026. osnivač financira nabavu radnih bilježnica svim učenicima osnovnih i područnih škola.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127.437,89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1,3</w:t>
            </w:r>
          </w:p>
        </w:tc>
      </w:tr>
    </w:tbl>
    <w:p>
      <w:pPr>
        <w:spacing w:before="0" w:after="0"/>
      </w:pPr>
    </w:p>
    <w:p>
      <w:r>
        <w:t xml:space="preserve">Zabilježen je ukupan manjak prihoda u iznosu od 1.710,58€.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869.538,57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859.732,34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Ukupna nefinancijska imovina iznosi 859.732€ što je na razini vrijednosti imovine prethodne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2.055.441,60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2.075.041,60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Blago povećanje obujma imovine Poslovnih zgrada odnosi se na ulaganja Grada Šibenika u sanaciju parketa.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139.451,52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157.066,21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Došlo je povećanja vrijednosti knjiga u iznosu od 12.6%, prvenstveno se odnosi na nabavu udžbenika i lektira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127.283,12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1028,3</w:t>
            </w:r>
          </w:p>
        </w:tc>
      </w:tr>
    </w:tbl>
    <w:p>
      <w:pPr>
        <w:spacing w:before="0" w:after="0"/>
      </w:pPr>
    </w:p>
    <w:p>
      <w:r>
        <w:t xml:space="preserve">Povećanje potraživanja za prihode poslovanja odnosi se na evidentirana potraživanja za pomoći iz proračuna te na potraživanja za prihode od imovine i administrativne pristojbe koje do kraja izvještajnog razdoblja nisu naplaćena.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111.575,43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se odnose na pomoći iz proračuna koji korisniku nije nadležan, a sredstva do kraja izvještajnog razdoblja nisu isplaćena.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1.656.643,40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1.727.447,80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Rashodi u iznosu od 1.727.447,80€  odnose se na djelatnost osnovnog obrazovanja.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112.097,54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78.181,65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69,7</w:t>
            </w:r>
          </w:p>
        </w:tc>
      </w:tr>
    </w:tbl>
    <w:p>
      <w:pPr>
        <w:spacing w:before="0" w:after="0"/>
      </w:pPr>
    </w:p>
    <w:p>
      <w:r>
        <w:t xml:space="preserve">Rashodi za dodatne usluge u obrazovanju iznose 78.181,65€ (troškovi učeničke kuhinje - učeničke marende).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Promjena u obujmu imovine u iznosu od 22.100€ odnosi se na ulaganje osnivača Grada Šibenika u proizvedenu dugotrajnu imovinu (sanacija parketa, izrada troškovnika za sanaciju OŠ Fausta Vrančića).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27.707,85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31.prosinca 2025. godine evidentirano je stanje dospjelih obveza u iznosu od 27.707,85 €, koje se odnose na obveze nastale u izvještajnom razdoblju, a njihovo podmirenje planirano je u skladu s važećim propisima i raspoloživim proračunskim sredstvima.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fc74ce513c4dbf" /></Relationships>
</file>